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D1BA" w14:textId="4099612F" w:rsidR="00031497" w:rsidRPr="00051770" w:rsidRDefault="00882243" w:rsidP="006A600D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Board</w:t>
      </w:r>
      <w:r>
        <w:rPr>
          <w:spacing w:val="-16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Residential</w:t>
      </w:r>
      <w:r>
        <w:rPr>
          <w:spacing w:val="-12"/>
        </w:rPr>
        <w:t xml:space="preserve"> </w:t>
      </w:r>
      <w:r>
        <w:rPr>
          <w:spacing w:val="-4"/>
        </w:rPr>
        <w:t>Tenancies</w:t>
      </w:r>
      <w:r>
        <w:rPr>
          <w:spacing w:val="-14"/>
        </w:rPr>
        <w:t xml:space="preserve"> </w:t>
      </w:r>
      <w:r>
        <w:rPr>
          <w:spacing w:val="-4"/>
        </w:rPr>
        <w:t>Authority</w:t>
      </w:r>
      <w:r>
        <w:rPr>
          <w:spacing w:val="-13"/>
        </w:rPr>
        <w:t xml:space="preserve"> </w:t>
      </w:r>
      <w:r>
        <w:rPr>
          <w:spacing w:val="-3"/>
        </w:rPr>
        <w:t>(the</w:t>
      </w:r>
      <w:r>
        <w:rPr>
          <w:spacing w:val="-10"/>
        </w:rPr>
        <w:t xml:space="preserve"> </w:t>
      </w:r>
      <w:r>
        <w:rPr>
          <w:spacing w:val="-3"/>
        </w:rPr>
        <w:t>Board)</w:t>
      </w:r>
      <w:r>
        <w:rPr>
          <w:spacing w:val="-15"/>
        </w:rPr>
        <w:t xml:space="preserve"> </w:t>
      </w:r>
      <w:r>
        <w:rPr>
          <w:spacing w:val="-3"/>
        </w:rPr>
        <w:t>is</w:t>
      </w:r>
      <w:r>
        <w:rPr>
          <w:spacing w:val="-6"/>
        </w:rPr>
        <w:t xml:space="preserve"> </w:t>
      </w:r>
      <w:r>
        <w:rPr>
          <w:spacing w:val="-3"/>
        </w:rPr>
        <w:t>established</w:t>
      </w:r>
      <w:r>
        <w:rPr>
          <w:spacing w:val="-16"/>
        </w:rPr>
        <w:t xml:space="preserve"> </w:t>
      </w:r>
      <w:r>
        <w:rPr>
          <w:spacing w:val="-3"/>
        </w:rPr>
        <w:t>under</w:t>
      </w:r>
      <w:r>
        <w:rPr>
          <w:spacing w:val="-15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i/>
          <w:spacing w:val="-3"/>
        </w:rPr>
        <w:t>Residential</w:t>
      </w:r>
      <w:r>
        <w:rPr>
          <w:i/>
          <w:spacing w:val="-58"/>
        </w:rPr>
        <w:t xml:space="preserve"> </w:t>
      </w:r>
      <w:r>
        <w:rPr>
          <w:i/>
          <w:spacing w:val="-5"/>
        </w:rPr>
        <w:t>Tenancies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and</w:t>
      </w:r>
      <w:r>
        <w:rPr>
          <w:i/>
          <w:spacing w:val="-16"/>
        </w:rPr>
        <w:t xml:space="preserve"> </w:t>
      </w:r>
      <w:r>
        <w:rPr>
          <w:i/>
          <w:spacing w:val="-4"/>
        </w:rPr>
        <w:t>Rooming</w:t>
      </w:r>
      <w:r>
        <w:rPr>
          <w:i/>
          <w:spacing w:val="-15"/>
        </w:rPr>
        <w:t xml:space="preserve"> </w:t>
      </w:r>
      <w:r>
        <w:rPr>
          <w:i/>
          <w:spacing w:val="-4"/>
        </w:rPr>
        <w:t>Accommodation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Act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2008</w:t>
      </w:r>
      <w:r>
        <w:rPr>
          <w:i/>
          <w:spacing w:val="-18"/>
        </w:rPr>
        <w:t xml:space="preserve"> </w:t>
      </w:r>
      <w:r>
        <w:rPr>
          <w:spacing w:val="-4"/>
        </w:rPr>
        <w:t>(the</w:t>
      </w:r>
      <w:r>
        <w:rPr>
          <w:spacing w:val="-12"/>
        </w:rPr>
        <w:t xml:space="preserve"> </w:t>
      </w:r>
      <w:r>
        <w:rPr>
          <w:spacing w:val="-4"/>
        </w:rPr>
        <w:t>Act).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Board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>responsible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way</w:t>
      </w:r>
      <w:r>
        <w:rPr>
          <w:spacing w:val="-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Residential</w:t>
      </w:r>
      <w:r>
        <w:rPr>
          <w:spacing w:val="-15"/>
        </w:rPr>
        <w:t xml:space="preserve"> </w:t>
      </w:r>
      <w:r>
        <w:t>Tenancies</w:t>
      </w:r>
      <w:r>
        <w:rPr>
          <w:spacing w:val="-14"/>
        </w:rPr>
        <w:t xml:space="preserve"> </w:t>
      </w:r>
      <w:r>
        <w:t>Authority</w:t>
      </w:r>
      <w:r>
        <w:rPr>
          <w:spacing w:val="-14"/>
        </w:rPr>
        <w:t xml:space="preserve"> </w:t>
      </w:r>
      <w:r>
        <w:t>(RTA)</w:t>
      </w:r>
      <w:r>
        <w:rPr>
          <w:spacing w:val="-13"/>
        </w:rPr>
        <w:t xml:space="preserve"> </w:t>
      </w:r>
      <w:r>
        <w:t>performs</w:t>
      </w:r>
      <w:r>
        <w:rPr>
          <w:spacing w:val="-14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functions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exercises</w:t>
      </w:r>
      <w:r>
        <w:rPr>
          <w:spacing w:val="-14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powers,</w:t>
      </w:r>
      <w:r>
        <w:rPr>
          <w:spacing w:val="-59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r>
        <w:rPr>
          <w:spacing w:val="-3"/>
        </w:rPr>
        <w:t>for</w:t>
      </w:r>
      <w:r>
        <w:rPr>
          <w:spacing w:val="-12"/>
        </w:rPr>
        <w:t xml:space="preserve"> </w:t>
      </w:r>
      <w:r>
        <w:rPr>
          <w:spacing w:val="-3"/>
        </w:rPr>
        <w:t>ensuring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RTA</w:t>
      </w:r>
      <w:r>
        <w:rPr>
          <w:spacing w:val="-10"/>
        </w:rPr>
        <w:t xml:space="preserve"> </w:t>
      </w:r>
      <w:r>
        <w:rPr>
          <w:spacing w:val="-3"/>
        </w:rPr>
        <w:t>performs</w:t>
      </w:r>
      <w:r>
        <w:rPr>
          <w:spacing w:val="-12"/>
        </w:rPr>
        <w:t xml:space="preserve"> </w:t>
      </w:r>
      <w:r>
        <w:rPr>
          <w:spacing w:val="-3"/>
        </w:rPr>
        <w:t>its</w:t>
      </w:r>
      <w:r>
        <w:rPr>
          <w:spacing w:val="-12"/>
        </w:rPr>
        <w:t xml:space="preserve"> </w:t>
      </w:r>
      <w:r>
        <w:rPr>
          <w:spacing w:val="-3"/>
        </w:rPr>
        <w:t>functions</w:t>
      </w:r>
      <w:r>
        <w:rPr>
          <w:spacing w:val="-12"/>
        </w:rPr>
        <w:t xml:space="preserve"> </w:t>
      </w:r>
      <w:r>
        <w:rPr>
          <w:spacing w:val="-3"/>
        </w:rPr>
        <w:t>in</w:t>
      </w:r>
      <w:r>
        <w:rPr>
          <w:spacing w:val="-12"/>
        </w:rPr>
        <w:t xml:space="preserve"> </w:t>
      </w:r>
      <w:r>
        <w:rPr>
          <w:spacing w:val="-3"/>
        </w:rPr>
        <w:t>an</w:t>
      </w:r>
      <w:r>
        <w:rPr>
          <w:spacing w:val="-12"/>
        </w:rPr>
        <w:t xml:space="preserve"> </w:t>
      </w:r>
      <w:r>
        <w:rPr>
          <w:spacing w:val="-3"/>
        </w:rPr>
        <w:t>appropriate,</w:t>
      </w:r>
      <w:r>
        <w:rPr>
          <w:spacing w:val="-11"/>
        </w:rPr>
        <w:t xml:space="preserve"> </w:t>
      </w:r>
      <w:r>
        <w:rPr>
          <w:spacing w:val="-3"/>
        </w:rPr>
        <w:t>effective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efficient</w:t>
      </w:r>
      <w:r>
        <w:rPr>
          <w:spacing w:val="-11"/>
        </w:rPr>
        <w:t xml:space="preserve"> </w:t>
      </w:r>
      <w:r>
        <w:rPr>
          <w:spacing w:val="-2"/>
        </w:rPr>
        <w:t>way.</w:t>
      </w:r>
    </w:p>
    <w:p w14:paraId="37BAC76C" w14:textId="77777777" w:rsidR="00051770" w:rsidRDefault="00051770" w:rsidP="001901D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r>
        <w:t>The Board has a range of significant responsibilities including:</w:t>
      </w:r>
    </w:p>
    <w:p w14:paraId="13814012" w14:textId="143BA6E1" w:rsidR="00051770" w:rsidRDefault="00051770" w:rsidP="001901DF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782" w:hanging="357"/>
        <w:jc w:val="both"/>
      </w:pPr>
      <w:r>
        <w:t>ensuring confidence is maintained in the industry</w:t>
      </w:r>
    </w:p>
    <w:p w14:paraId="6083B11A" w14:textId="272B6E27" w:rsidR="00051770" w:rsidRDefault="00051770" w:rsidP="001901DF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782" w:hanging="357"/>
        <w:jc w:val="both"/>
      </w:pPr>
      <w:r>
        <w:t>reviewing and approving strategy</w:t>
      </w:r>
    </w:p>
    <w:p w14:paraId="372E25FC" w14:textId="168854F5" w:rsidR="00051770" w:rsidRDefault="00051770" w:rsidP="001901DF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782" w:hanging="357"/>
        <w:jc w:val="both"/>
      </w:pPr>
      <w:r>
        <w:t>setting values and standards</w:t>
      </w:r>
    </w:p>
    <w:p w14:paraId="007411D6" w14:textId="58A84AA4" w:rsidR="00051770" w:rsidRDefault="00051770" w:rsidP="001901DF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782" w:hanging="357"/>
        <w:jc w:val="both"/>
      </w:pPr>
      <w:r>
        <w:t>approving the RTA’s annual budget</w:t>
      </w:r>
    </w:p>
    <w:p w14:paraId="7FDCF7AF" w14:textId="1A8FE08A" w:rsidR="00051770" w:rsidRDefault="00051770" w:rsidP="001901DF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782" w:hanging="357"/>
        <w:jc w:val="both"/>
      </w:pPr>
      <w:r>
        <w:t>monitoring the RTA’s business performance</w:t>
      </w:r>
    </w:p>
    <w:p w14:paraId="5B16F693" w14:textId="217C6741" w:rsidR="00051770" w:rsidRDefault="00051770" w:rsidP="001901DF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782" w:hanging="357"/>
        <w:jc w:val="both"/>
      </w:pPr>
      <w:r>
        <w:t>ensuring significant business and financial risks are identified and managed effectively</w:t>
      </w:r>
    </w:p>
    <w:p w14:paraId="1AFE507A" w14:textId="46A90281" w:rsidR="00051770" w:rsidRDefault="00051770" w:rsidP="001901DF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782" w:hanging="357"/>
        <w:jc w:val="both"/>
      </w:pPr>
      <w:r>
        <w:t>overseeing investment activities and the RTA’s financial position, and</w:t>
      </w:r>
    </w:p>
    <w:p w14:paraId="71AB45B2" w14:textId="7CDBC76B" w:rsidR="00051770" w:rsidRDefault="00051770" w:rsidP="001901DF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782" w:hanging="357"/>
        <w:jc w:val="both"/>
      </w:pPr>
      <w:r>
        <w:t>ensuring the performance of the Board and management is regularly and effectively assessed.</w:t>
      </w:r>
    </w:p>
    <w:p w14:paraId="3FC78CEF" w14:textId="53141A3D" w:rsidR="00051770" w:rsidRDefault="00D87B8A" w:rsidP="006A600D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r w:rsidRPr="00D87B8A">
        <w:t>The Board performs a key role in contributing to the overall level of confidence in the residential rental sector including amongst investors, lessors, lessees and other industry stakeholders</w:t>
      </w:r>
      <w:r>
        <w:t>.</w:t>
      </w:r>
    </w:p>
    <w:p w14:paraId="72EFD1BC" w14:textId="2DAF7927" w:rsidR="00031497" w:rsidRDefault="00882243" w:rsidP="001901D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r>
        <w:rPr>
          <w:spacing w:val="-3"/>
        </w:rPr>
        <w:t>The membership</w:t>
      </w:r>
      <w:r>
        <w:rPr>
          <w:spacing w:val="-12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Board</w:t>
      </w:r>
      <w:r>
        <w:rPr>
          <w:spacing w:val="-11"/>
        </w:rPr>
        <w:t xml:space="preserve"> </w:t>
      </w:r>
      <w:r>
        <w:rPr>
          <w:spacing w:val="-3"/>
        </w:rPr>
        <w:t>comprises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Chairperson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-11"/>
        </w:rPr>
        <w:t xml:space="preserve"> </w:t>
      </w:r>
      <w:r>
        <w:rPr>
          <w:spacing w:val="-3"/>
        </w:rPr>
        <w:t>six</w:t>
      </w:r>
      <w:r>
        <w:rPr>
          <w:spacing w:val="-12"/>
        </w:rPr>
        <w:t xml:space="preserve"> </w:t>
      </w:r>
      <w:r>
        <w:rPr>
          <w:spacing w:val="-3"/>
        </w:rPr>
        <w:t>other</w:t>
      </w:r>
      <w:r>
        <w:rPr>
          <w:spacing w:val="-10"/>
        </w:rPr>
        <w:t xml:space="preserve"> </w:t>
      </w:r>
      <w:r>
        <w:rPr>
          <w:spacing w:val="-3"/>
        </w:rPr>
        <w:t>Directors.</w:t>
      </w:r>
    </w:p>
    <w:p w14:paraId="72EFD1BE" w14:textId="77777777" w:rsidR="00031497" w:rsidRDefault="00882243" w:rsidP="001901D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r>
        <w:t>Section 474 of the Act provides that a Director may be appointed for the term, not longer than</w:t>
      </w:r>
      <w:r>
        <w:rPr>
          <w:spacing w:val="-59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years,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decided</w:t>
      </w:r>
      <w:r>
        <w:rPr>
          <w:spacing w:val="-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Governor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Council.</w:t>
      </w:r>
    </w:p>
    <w:p w14:paraId="72EFD1C0" w14:textId="47FE46E9" w:rsidR="00031497" w:rsidRDefault="00882243" w:rsidP="0085781D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r>
        <w:rPr>
          <w:u w:val="single"/>
        </w:rPr>
        <w:t>Cabinet</w:t>
      </w:r>
      <w:r>
        <w:rPr>
          <w:spacing w:val="1"/>
          <w:u w:val="single"/>
        </w:rPr>
        <w:t xml:space="preserve"> </w:t>
      </w:r>
      <w:r>
        <w:rPr>
          <w:u w:val="single"/>
        </w:rPr>
        <w:t>endorsed</w:t>
      </w:r>
      <w:r>
        <w:rPr>
          <w:spacing w:val="1"/>
        </w:rPr>
        <w:t xml:space="preserve"> </w:t>
      </w:r>
      <w:r>
        <w:t>recommending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Mr</w:t>
      </w:r>
      <w:r>
        <w:rPr>
          <w:spacing w:val="1"/>
        </w:rPr>
        <w:t xml:space="preserve"> </w:t>
      </w:r>
      <w:r>
        <w:t>Paul</w:t>
      </w:r>
      <w:r>
        <w:rPr>
          <w:spacing w:val="1"/>
        </w:rPr>
        <w:t xml:space="preserve"> </w:t>
      </w:r>
      <w:r>
        <w:t>Melville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 xml:space="preserve">reappointed as the Chairperson and Director </w:t>
      </w:r>
      <w:r w:rsidR="005E4560">
        <w:t xml:space="preserve">of the Board of the Residential Tenancies Authority </w:t>
      </w:r>
      <w:r>
        <w:t>for a term of 14 months from 1 September 2021</w:t>
      </w:r>
      <w:r w:rsidR="00CB2CED">
        <w:t xml:space="preserve"> to 31 </w:t>
      </w:r>
      <w:r>
        <w:t>October</w:t>
      </w:r>
      <w:r w:rsidRPr="0085781D">
        <w:rPr>
          <w:spacing w:val="2"/>
        </w:rPr>
        <w:t xml:space="preserve"> </w:t>
      </w:r>
      <w:r>
        <w:t>2022.</w:t>
      </w:r>
    </w:p>
    <w:p w14:paraId="72EFD1C2" w14:textId="77777777" w:rsidR="00031497" w:rsidRDefault="00882243" w:rsidP="001901DF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hanging="425"/>
        <w:jc w:val="both"/>
      </w:pPr>
      <w:r>
        <w:rPr>
          <w:i/>
          <w:u w:val="single"/>
        </w:rPr>
        <w:t>Attachments</w:t>
      </w:r>
      <w:r>
        <w:t>:</w:t>
      </w:r>
    </w:p>
    <w:p w14:paraId="72EFD1C4" w14:textId="77777777" w:rsidR="00031497" w:rsidRDefault="00882243" w:rsidP="001901DF">
      <w:pPr>
        <w:pStyle w:val="ListParagraph"/>
        <w:numPr>
          <w:ilvl w:val="0"/>
          <w:numId w:val="2"/>
        </w:numPr>
        <w:tabs>
          <w:tab w:val="left" w:pos="993"/>
        </w:tabs>
        <w:spacing w:before="240"/>
        <w:ind w:left="782" w:hanging="357"/>
        <w:jc w:val="both"/>
      </w:pPr>
      <w:r>
        <w:t>Nil.</w:t>
      </w:r>
    </w:p>
    <w:sectPr w:rsidR="00031497" w:rsidSect="00156131">
      <w:headerReference w:type="default" r:id="rId10"/>
      <w:pgSz w:w="11907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CFFA" w14:textId="77777777" w:rsidR="004A5FFF" w:rsidRDefault="004A5FFF" w:rsidP="009931A3">
      <w:r>
        <w:separator/>
      </w:r>
    </w:p>
  </w:endnote>
  <w:endnote w:type="continuationSeparator" w:id="0">
    <w:p w14:paraId="5D041630" w14:textId="77777777" w:rsidR="004A5FFF" w:rsidRDefault="004A5FFF" w:rsidP="0099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1AFF" w14:textId="77777777" w:rsidR="004A5FFF" w:rsidRDefault="004A5FFF" w:rsidP="009931A3">
      <w:r>
        <w:separator/>
      </w:r>
    </w:p>
  </w:footnote>
  <w:footnote w:type="continuationSeparator" w:id="0">
    <w:p w14:paraId="28CAB695" w14:textId="77777777" w:rsidR="004A5FFF" w:rsidRDefault="004A5FFF" w:rsidP="00993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7B50" w14:textId="77777777" w:rsidR="009931A3" w:rsidRPr="00937A4A" w:rsidRDefault="009931A3" w:rsidP="009931A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3F9377BE" w14:textId="77777777" w:rsidR="009931A3" w:rsidRPr="00937A4A" w:rsidRDefault="009931A3" w:rsidP="009931A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17657909" w14:textId="1DFE02CE" w:rsidR="009931A3" w:rsidRPr="00937A4A" w:rsidRDefault="009931A3" w:rsidP="009931A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August 2021</w:t>
    </w:r>
  </w:p>
  <w:p w14:paraId="2AE10CE9" w14:textId="3952CC3F" w:rsidR="009931A3" w:rsidRDefault="009931A3" w:rsidP="009931A3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Appointment of the Chairperson </w:t>
    </w:r>
    <w:r w:rsidR="007157B7">
      <w:rPr>
        <w:b/>
        <w:u w:val="single"/>
      </w:rPr>
      <w:t xml:space="preserve">(and Director) </w:t>
    </w:r>
    <w:r>
      <w:rPr>
        <w:b/>
        <w:u w:val="single"/>
      </w:rPr>
      <w:t>to the Board of the Residential Tenancies Authority</w:t>
    </w:r>
  </w:p>
  <w:p w14:paraId="16B91ACB" w14:textId="7BB038AB" w:rsidR="009931A3" w:rsidRDefault="009931A3" w:rsidP="009931A3">
    <w:pPr>
      <w:pStyle w:val="Header"/>
      <w:spacing w:before="120"/>
      <w:rPr>
        <w:b/>
        <w:u w:val="single"/>
      </w:rPr>
    </w:pPr>
    <w:r>
      <w:rPr>
        <w:b/>
        <w:u w:val="single"/>
      </w:rPr>
      <w:t>Minister for Communities and Housing, Minister for Digital Economy and Minister for the Arts</w:t>
    </w:r>
  </w:p>
  <w:p w14:paraId="5645908C" w14:textId="77777777" w:rsidR="009931A3" w:rsidRDefault="009931A3" w:rsidP="009931A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55A19"/>
    <w:multiLevelType w:val="hybridMultilevel"/>
    <w:tmpl w:val="7D64E56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5451E23"/>
    <w:multiLevelType w:val="hybridMultilevel"/>
    <w:tmpl w:val="D42AD7A8"/>
    <w:lvl w:ilvl="0" w:tplc="E22EAFC0">
      <w:start w:val="1"/>
      <w:numFmt w:val="decimal"/>
      <w:lvlText w:val="%1."/>
      <w:lvlJc w:val="left"/>
      <w:pPr>
        <w:ind w:left="7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C88083D0">
      <w:numFmt w:val="bullet"/>
      <w:lvlText w:val=""/>
      <w:lvlJc w:val="left"/>
      <w:pPr>
        <w:ind w:left="108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36EEC1A6">
      <w:numFmt w:val="bullet"/>
      <w:lvlText w:val="•"/>
      <w:lvlJc w:val="left"/>
      <w:pPr>
        <w:ind w:left="2083" w:hanging="286"/>
      </w:pPr>
      <w:rPr>
        <w:rFonts w:hint="default"/>
        <w:lang w:val="en-AU" w:eastAsia="en-US" w:bidi="ar-SA"/>
      </w:rPr>
    </w:lvl>
    <w:lvl w:ilvl="3" w:tplc="B3984FAE">
      <w:numFmt w:val="bullet"/>
      <w:lvlText w:val="•"/>
      <w:lvlJc w:val="left"/>
      <w:pPr>
        <w:ind w:left="3086" w:hanging="286"/>
      </w:pPr>
      <w:rPr>
        <w:rFonts w:hint="default"/>
        <w:lang w:val="en-AU" w:eastAsia="en-US" w:bidi="ar-SA"/>
      </w:rPr>
    </w:lvl>
    <w:lvl w:ilvl="4" w:tplc="5F00E498">
      <w:numFmt w:val="bullet"/>
      <w:lvlText w:val="•"/>
      <w:lvlJc w:val="left"/>
      <w:pPr>
        <w:ind w:left="4090" w:hanging="286"/>
      </w:pPr>
      <w:rPr>
        <w:rFonts w:hint="default"/>
        <w:lang w:val="en-AU" w:eastAsia="en-US" w:bidi="ar-SA"/>
      </w:rPr>
    </w:lvl>
    <w:lvl w:ilvl="5" w:tplc="2698147A">
      <w:numFmt w:val="bullet"/>
      <w:lvlText w:val="•"/>
      <w:lvlJc w:val="left"/>
      <w:pPr>
        <w:ind w:left="5093" w:hanging="286"/>
      </w:pPr>
      <w:rPr>
        <w:rFonts w:hint="default"/>
        <w:lang w:val="en-AU" w:eastAsia="en-US" w:bidi="ar-SA"/>
      </w:rPr>
    </w:lvl>
    <w:lvl w:ilvl="6" w:tplc="FA4E35E8">
      <w:numFmt w:val="bullet"/>
      <w:lvlText w:val="•"/>
      <w:lvlJc w:val="left"/>
      <w:pPr>
        <w:ind w:left="6097" w:hanging="286"/>
      </w:pPr>
      <w:rPr>
        <w:rFonts w:hint="default"/>
        <w:lang w:val="en-AU" w:eastAsia="en-US" w:bidi="ar-SA"/>
      </w:rPr>
    </w:lvl>
    <w:lvl w:ilvl="7" w:tplc="7E3070B4">
      <w:numFmt w:val="bullet"/>
      <w:lvlText w:val="•"/>
      <w:lvlJc w:val="left"/>
      <w:pPr>
        <w:ind w:left="7100" w:hanging="286"/>
      </w:pPr>
      <w:rPr>
        <w:rFonts w:hint="default"/>
        <w:lang w:val="en-AU" w:eastAsia="en-US" w:bidi="ar-SA"/>
      </w:rPr>
    </w:lvl>
    <w:lvl w:ilvl="8" w:tplc="21ECE61E">
      <w:numFmt w:val="bullet"/>
      <w:lvlText w:val="•"/>
      <w:lvlJc w:val="left"/>
      <w:pPr>
        <w:ind w:left="8104" w:hanging="286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97"/>
    <w:rsid w:val="00031497"/>
    <w:rsid w:val="000450F9"/>
    <w:rsid w:val="00051770"/>
    <w:rsid w:val="000A53AC"/>
    <w:rsid w:val="00156131"/>
    <w:rsid w:val="00164C23"/>
    <w:rsid w:val="001901DF"/>
    <w:rsid w:val="001E7C67"/>
    <w:rsid w:val="002148F6"/>
    <w:rsid w:val="0042795D"/>
    <w:rsid w:val="004A5FFF"/>
    <w:rsid w:val="005E4560"/>
    <w:rsid w:val="005F3BF4"/>
    <w:rsid w:val="006A600D"/>
    <w:rsid w:val="007157B7"/>
    <w:rsid w:val="007306D7"/>
    <w:rsid w:val="00834AD6"/>
    <w:rsid w:val="0085781D"/>
    <w:rsid w:val="00882243"/>
    <w:rsid w:val="008A65CE"/>
    <w:rsid w:val="009931A3"/>
    <w:rsid w:val="00B57F3A"/>
    <w:rsid w:val="00CB2CED"/>
    <w:rsid w:val="00D87B8A"/>
    <w:rsid w:val="00FA6C95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519" w:right="515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06"/>
      <w:ind w:left="110" w:right="105" w:hanging="2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799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3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1A3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93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1A3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92B8E-AD05-4B7F-9F68-BBD4E103F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41A06-5057-4B74-88D7-3C5BAB36B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A742E-8CC8-4712-879D-6D911B1EAF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1356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CAB—Proactive Release Summary</vt:lpstr>
    </vt:vector>
  </TitlesOfParts>
  <Company/>
  <LinksUpToDate>false</LinksUpToDate>
  <CharactersWithSpaces>1590</CharactersWithSpaces>
  <SharedDoc>false</SharedDoc>
  <HyperlinkBase>https://www.cabinet.qld.gov.au/documents/2021/Aug/RTABoardAppts/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CAB—Proactive Release Summary</dc:title>
  <dc:creator/>
  <cp:keywords>cabinet; proactive release</cp:keywords>
  <cp:lastModifiedBy/>
  <cp:revision>10</cp:revision>
  <cp:lastPrinted>2021-09-16T00:32:00Z</cp:lastPrinted>
  <dcterms:created xsi:type="dcterms:W3CDTF">2021-07-15T05:32:00Z</dcterms:created>
  <dcterms:modified xsi:type="dcterms:W3CDTF">2022-01-31T22:21:00Z</dcterms:modified>
  <cp:category>Boards,Residential_Tenancies,Significant_Appointments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2021-07-15T00:00:00Z</vt:filetime>
  </property>
  <property fmtid="{D5CDD505-2E9C-101B-9397-08002B2CF9AE}" pid="5" name="ContentTypeId">
    <vt:lpwstr>0x010100DDE14CFDD070B24F85F5DE43654FF01E</vt:lpwstr>
  </property>
</Properties>
</file>